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B6E0E" w14:textId="77777777" w:rsidR="00E922AC" w:rsidRDefault="00BE0E2F">
      <w:pPr>
        <w:rPr>
          <w:rFonts w:ascii="Alfa Slab One" w:eastAsia="Alfa Slab One" w:hAnsi="Alfa Slab One" w:cs="Alfa Slab One"/>
          <w:sz w:val="36"/>
          <w:szCs w:val="36"/>
        </w:rPr>
      </w:pPr>
      <w:bookmarkStart w:id="0" w:name="_GoBack"/>
      <w:bookmarkEnd w:id="0"/>
      <w:r>
        <w:t xml:space="preserve"> </w:t>
      </w:r>
    </w:p>
    <w:p w14:paraId="49B9FCDB" w14:textId="77777777" w:rsidR="00E922AC" w:rsidRDefault="00BE0E2F">
      <w:pPr>
        <w:jc w:val="center"/>
        <w:rPr>
          <w:rFonts w:ascii="Alfa Slab One" w:eastAsia="Alfa Slab One" w:hAnsi="Alfa Slab One" w:cs="Alfa Slab One"/>
          <w:color w:val="417CC0"/>
          <w:sz w:val="32"/>
          <w:szCs w:val="32"/>
        </w:rPr>
      </w:pPr>
      <w:r>
        <w:rPr>
          <w:rFonts w:ascii="Alfa Slab One" w:eastAsia="Alfa Slab One" w:hAnsi="Alfa Slab One" w:cs="Alfa Slab One"/>
          <w:color w:val="417CC0"/>
          <w:sz w:val="32"/>
          <w:szCs w:val="32"/>
        </w:rPr>
        <w:t>Why Census is Critical for Southeast Asian Americans</w:t>
      </w:r>
    </w:p>
    <w:p w14:paraId="7F263B71" w14:textId="77777777" w:rsidR="00E922AC" w:rsidRDefault="00E922AC"/>
    <w:p w14:paraId="78C34EBD" w14:textId="67893B7A" w:rsidR="00E922AC" w:rsidRDefault="00BE0E2F">
      <w:pPr>
        <w:spacing w:after="200"/>
        <w:jc w:val="both"/>
        <w:rPr>
          <w:rFonts w:ascii="Georgia" w:eastAsia="Georgia" w:hAnsi="Georgia" w:cs="Georgia"/>
          <w:sz w:val="22"/>
          <w:szCs w:val="22"/>
          <w:vertAlign w:val="superscript"/>
        </w:rPr>
      </w:pPr>
      <w:r>
        <w:rPr>
          <w:rFonts w:ascii="Georgia" w:eastAsia="Georgia" w:hAnsi="Georgia" w:cs="Georgia"/>
          <w:sz w:val="22"/>
          <w:szCs w:val="22"/>
        </w:rPr>
        <w:t xml:space="preserve">Every 10 years, the US government is required to count </w:t>
      </w:r>
      <w:r>
        <w:rPr>
          <w:rFonts w:ascii="Georgia" w:eastAsia="Georgia" w:hAnsi="Georgia" w:cs="Georgia"/>
          <w:b/>
          <w:sz w:val="22"/>
          <w:szCs w:val="22"/>
        </w:rPr>
        <w:t>every person</w:t>
      </w:r>
      <w:r>
        <w:rPr>
          <w:rFonts w:ascii="Georgia" w:eastAsia="Georgia" w:hAnsi="Georgia" w:cs="Georgia"/>
          <w:sz w:val="22"/>
          <w:szCs w:val="22"/>
        </w:rPr>
        <w:t xml:space="preserve"> living in the United States through a survey called “census”. The next census will start in March 2020</w:t>
      </w:r>
      <w:r w:rsidR="00756A9C">
        <w:rPr>
          <w:rFonts w:ascii="Georgia" w:eastAsia="Georgia" w:hAnsi="Georgia" w:cs="Georgia"/>
          <w:sz w:val="22"/>
          <w:szCs w:val="22"/>
        </w:rPr>
        <w:t>,</w:t>
      </w:r>
      <w:r>
        <w:rPr>
          <w:rFonts w:ascii="Georgia" w:eastAsia="Georgia" w:hAnsi="Georgia" w:cs="Georgia"/>
          <w:sz w:val="22"/>
          <w:szCs w:val="22"/>
        </w:rPr>
        <w:t xml:space="preserve"> and it will determine how $800 billion in federal funding </w:t>
      </w:r>
      <w:r w:rsidR="00756A9C">
        <w:rPr>
          <w:rFonts w:ascii="Georgia" w:eastAsia="Georgia" w:hAnsi="Georgia" w:cs="Georgia"/>
          <w:sz w:val="22"/>
          <w:szCs w:val="22"/>
        </w:rPr>
        <w:t xml:space="preserve">will be </w:t>
      </w:r>
      <w:r>
        <w:rPr>
          <w:rFonts w:ascii="Georgia" w:eastAsia="Georgia" w:hAnsi="Georgia" w:cs="Georgia"/>
          <w:sz w:val="22"/>
          <w:szCs w:val="22"/>
        </w:rPr>
        <w:t xml:space="preserve">allocated to communities across the country. During the last census in 2010, </w:t>
      </w:r>
      <w:r w:rsidR="00756A9C">
        <w:rPr>
          <w:rFonts w:ascii="Georgia" w:eastAsia="Georgia" w:hAnsi="Georgia" w:cs="Georgia"/>
          <w:sz w:val="22"/>
          <w:szCs w:val="22"/>
        </w:rPr>
        <w:t xml:space="preserve">more than </w:t>
      </w:r>
      <w:r>
        <w:rPr>
          <w:rFonts w:ascii="Georgia" w:eastAsia="Georgia" w:hAnsi="Georgia" w:cs="Georgia"/>
          <w:sz w:val="22"/>
          <w:szCs w:val="22"/>
        </w:rPr>
        <w:t>650,000 Southeast Asian Americans (SEAA)</w:t>
      </w:r>
      <w:r w:rsidR="00756A9C">
        <w:rPr>
          <w:rFonts w:ascii="Georgia" w:eastAsia="Georgia" w:hAnsi="Georgia" w:cs="Georgia"/>
          <w:sz w:val="22"/>
          <w:szCs w:val="22"/>
        </w:rPr>
        <w:t>,</w:t>
      </w:r>
      <w:r>
        <w:rPr>
          <w:rFonts w:ascii="Georgia" w:eastAsia="Georgia" w:hAnsi="Georgia" w:cs="Georgia"/>
          <w:sz w:val="22"/>
          <w:szCs w:val="22"/>
        </w:rPr>
        <w:t xml:space="preserve"> or 23% of the SEAA population</w:t>
      </w:r>
      <w:r w:rsidR="00756A9C">
        <w:rPr>
          <w:rFonts w:ascii="Georgia" w:eastAsia="Georgia" w:hAnsi="Georgia" w:cs="Georgia"/>
          <w:sz w:val="22"/>
          <w:szCs w:val="22"/>
        </w:rPr>
        <w:t>,</w:t>
      </w:r>
      <w:r>
        <w:rPr>
          <w:rFonts w:ascii="Georgia" w:eastAsia="Georgia" w:hAnsi="Georgia" w:cs="Georgia"/>
          <w:sz w:val="22"/>
          <w:szCs w:val="22"/>
        </w:rPr>
        <w:t xml:space="preserve"> were found to live in areas of the country that had low census response rates</w:t>
      </w:r>
      <w:r>
        <w:rPr>
          <w:rFonts w:ascii="Georgia" w:eastAsia="Georgia" w:hAnsi="Georgia" w:cs="Georgia"/>
          <w:sz w:val="22"/>
          <w:szCs w:val="22"/>
          <w:vertAlign w:val="superscript"/>
        </w:rPr>
        <w:footnoteReference w:id="1"/>
      </w:r>
      <w:r>
        <w:rPr>
          <w:rFonts w:ascii="Georgia" w:eastAsia="Georgia" w:hAnsi="Georgia" w:cs="Georgia"/>
          <w:sz w:val="22"/>
          <w:szCs w:val="22"/>
        </w:rPr>
        <w:t xml:space="preserve"> or what </w:t>
      </w:r>
      <w:r w:rsidR="00756A9C">
        <w:rPr>
          <w:rFonts w:ascii="Georgia" w:eastAsia="Georgia" w:hAnsi="Georgia" w:cs="Georgia"/>
          <w:sz w:val="22"/>
          <w:szCs w:val="22"/>
        </w:rPr>
        <w:t xml:space="preserve">are </w:t>
      </w:r>
      <w:r>
        <w:rPr>
          <w:rFonts w:ascii="Georgia" w:eastAsia="Georgia" w:hAnsi="Georgia" w:cs="Georgia"/>
          <w:sz w:val="22"/>
          <w:szCs w:val="22"/>
        </w:rPr>
        <w:t>known as “hard-to-count tracts.”</w:t>
      </w:r>
      <w:r>
        <w:rPr>
          <w:rFonts w:ascii="Georgia" w:eastAsia="Georgia" w:hAnsi="Georgia" w:cs="Georgia"/>
          <w:sz w:val="22"/>
          <w:szCs w:val="22"/>
          <w:vertAlign w:val="superscript"/>
        </w:rPr>
        <w:footnoteReference w:id="2"/>
      </w:r>
      <w:r>
        <w:rPr>
          <w:rFonts w:ascii="Georgia" w:eastAsia="Georgia" w:hAnsi="Georgia" w:cs="Georgia"/>
          <w:sz w:val="22"/>
          <w:szCs w:val="22"/>
        </w:rPr>
        <w:t xml:space="preserve"> This means that these community members may have not been counted, resulting in </w:t>
      </w:r>
      <w:r w:rsidR="009733E5">
        <w:rPr>
          <w:rFonts w:ascii="Georgia" w:eastAsia="Georgia" w:hAnsi="Georgia" w:cs="Georgia"/>
          <w:sz w:val="22"/>
          <w:szCs w:val="22"/>
        </w:rPr>
        <w:t xml:space="preserve">loss of </w:t>
      </w:r>
      <w:r>
        <w:rPr>
          <w:rFonts w:ascii="Georgia" w:eastAsia="Georgia" w:hAnsi="Georgia" w:cs="Georgia"/>
          <w:sz w:val="22"/>
          <w:szCs w:val="22"/>
        </w:rPr>
        <w:t>money that could have gone to their communities for important programs</w:t>
      </w:r>
      <w:r w:rsidR="00756A9C">
        <w:rPr>
          <w:rFonts w:ascii="Georgia" w:eastAsia="Georgia" w:hAnsi="Georgia" w:cs="Georgia"/>
          <w:sz w:val="22"/>
          <w:szCs w:val="22"/>
        </w:rPr>
        <w:t>,</w:t>
      </w:r>
      <w:r>
        <w:rPr>
          <w:rFonts w:ascii="Georgia" w:eastAsia="Georgia" w:hAnsi="Georgia" w:cs="Georgia"/>
          <w:sz w:val="22"/>
          <w:szCs w:val="22"/>
        </w:rPr>
        <w:t xml:space="preserve"> like fixing roads, more health care, more affordable housing options, and more money to schools.  </w:t>
      </w:r>
    </w:p>
    <w:p w14:paraId="77B0B00D" w14:textId="391DB121" w:rsidR="00E922AC" w:rsidRPr="00714223" w:rsidRDefault="009733E5">
      <w:pPr>
        <w:spacing w:line="276" w:lineRule="auto"/>
        <w:jc w:val="center"/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714223">
        <w:rPr>
          <w:rFonts w:ascii="Geomanist Medium" w:eastAsia="Geo" w:hAnsi="Geomanist Medium" w:cs="Geo"/>
          <w:b/>
          <w:color w:val="417CC0"/>
          <w:sz w:val="28"/>
          <w:szCs w:val="28"/>
        </w:rPr>
        <w:t>POPULATION IN HARD</w:t>
      </w:r>
      <w:r w:rsidR="00756A9C" w:rsidRPr="00714223">
        <w:rPr>
          <w:rFonts w:ascii="Geomanist Medium" w:eastAsia="Geo" w:hAnsi="Geomanist Medium" w:cs="Geo"/>
          <w:b/>
          <w:color w:val="417CC0"/>
          <w:sz w:val="28"/>
          <w:szCs w:val="28"/>
        </w:rPr>
        <w:t>-</w:t>
      </w:r>
      <w:r w:rsidRPr="00714223">
        <w:rPr>
          <w:rFonts w:ascii="Geomanist Medium" w:eastAsia="Geo" w:hAnsi="Geomanist Medium" w:cs="Geo"/>
          <w:b/>
          <w:color w:val="417CC0"/>
          <w:sz w:val="28"/>
          <w:szCs w:val="28"/>
        </w:rPr>
        <w:t>TO</w:t>
      </w:r>
      <w:r w:rsidR="00756A9C" w:rsidRPr="00714223">
        <w:rPr>
          <w:rFonts w:ascii="Geomanist Medium" w:eastAsia="Geo" w:hAnsi="Geomanist Medium" w:cs="Geo"/>
          <w:b/>
          <w:color w:val="417CC0"/>
          <w:sz w:val="28"/>
          <w:szCs w:val="28"/>
        </w:rPr>
        <w:t>-</w:t>
      </w:r>
      <w:r w:rsidR="00BE0E2F" w:rsidRPr="00714223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COUNT </w:t>
      </w:r>
      <w:r w:rsidRPr="00714223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2010 </w:t>
      </w:r>
      <w:r w:rsidR="00BE0E2F" w:rsidRPr="00714223">
        <w:rPr>
          <w:rFonts w:ascii="Geomanist Medium" w:eastAsia="Geo" w:hAnsi="Geomanist Medium" w:cs="Geo"/>
          <w:b/>
          <w:color w:val="417CC0"/>
          <w:sz w:val="28"/>
          <w:szCs w:val="28"/>
        </w:rPr>
        <w:t>CENSUS TRACTS</w:t>
      </w:r>
    </w:p>
    <w:p w14:paraId="505EEB9E" w14:textId="77777777" w:rsidR="00E922AC" w:rsidRDefault="00BE0E2F">
      <w:pPr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By Southeast Asian American Ethnic Group, United States 2010</w:t>
      </w:r>
    </w:p>
    <w:p w14:paraId="6481E0D7" w14:textId="77777777" w:rsidR="00E922AC" w:rsidRDefault="00BE0E2F">
      <w:pPr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noProof/>
          <w:sz w:val="18"/>
          <w:szCs w:val="18"/>
        </w:rPr>
        <w:drawing>
          <wp:inline distT="114300" distB="114300" distL="114300" distR="114300" wp14:anchorId="6FF3CC90" wp14:editId="76FB9337">
            <wp:extent cx="3876675" cy="2114550"/>
            <wp:effectExtent l="0" t="0" r="0" b="0"/>
            <wp:docPr id="4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t="18978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114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211C6D" w14:textId="77777777" w:rsidR="004A322F" w:rsidRDefault="004A322F">
      <w:pPr>
        <w:spacing w:line="276" w:lineRule="auto"/>
        <w:rPr>
          <w:rFonts w:ascii="Geo" w:eastAsia="Geo" w:hAnsi="Geo" w:cs="Geo"/>
          <w:b/>
          <w:color w:val="417CC0"/>
          <w:sz w:val="28"/>
          <w:szCs w:val="28"/>
        </w:rPr>
      </w:pPr>
    </w:p>
    <w:p w14:paraId="659B8D24" w14:textId="77777777" w:rsidR="00E922AC" w:rsidRPr="00714223" w:rsidRDefault="00BE0E2F">
      <w:pPr>
        <w:spacing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714223">
        <w:rPr>
          <w:rFonts w:ascii="Geomanist Medium" w:eastAsia="Geo" w:hAnsi="Geomanist Medium" w:cs="Geo"/>
          <w:b/>
          <w:color w:val="417CC0"/>
          <w:sz w:val="28"/>
          <w:szCs w:val="28"/>
        </w:rPr>
        <w:t>DID YOU KNOW?</w:t>
      </w:r>
    </w:p>
    <w:p w14:paraId="1B8293A5" w14:textId="684C487A" w:rsidR="00E922AC" w:rsidRDefault="00BE0E2F">
      <w:pPr>
        <w:spacing w:after="20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Some factors that make it difficult for SEAA communities to fill out the census are</w:t>
      </w:r>
      <w:r w:rsidR="00756A9C">
        <w:rPr>
          <w:rFonts w:ascii="Georgia" w:eastAsia="Georgia" w:hAnsi="Georgia" w:cs="Georgia"/>
          <w:sz w:val="22"/>
          <w:szCs w:val="22"/>
        </w:rPr>
        <w:t>:</w:t>
      </w:r>
      <w:r>
        <w:rPr>
          <w:rFonts w:ascii="Georgia" w:eastAsia="Georgia" w:hAnsi="Georgia" w:cs="Georgia"/>
          <w:sz w:val="22"/>
          <w:szCs w:val="22"/>
          <w:vertAlign w:val="superscript"/>
        </w:rPr>
        <w:footnoteReference w:id="3"/>
      </w:r>
    </w:p>
    <w:p w14:paraId="7B66D430" w14:textId="3EA355E3" w:rsidR="00E922AC" w:rsidRDefault="00BE0E2F">
      <w:pPr>
        <w:numPr>
          <w:ilvl w:val="0"/>
          <w:numId w:val="2"/>
        </w:numPr>
        <w:spacing w:after="20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color w:val="BC1F64"/>
          <w:sz w:val="22"/>
          <w:szCs w:val="22"/>
        </w:rPr>
        <w:t>Distrust in the government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 w:rsidR="00756A9C">
        <w:rPr>
          <w:rFonts w:ascii="Georgia" w:eastAsia="Georgia" w:hAnsi="Georgia" w:cs="Georgia"/>
          <w:sz w:val="22"/>
          <w:szCs w:val="22"/>
        </w:rPr>
        <w:t>—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 w:rsidR="004A322F">
        <w:rPr>
          <w:rFonts w:ascii="Georgia" w:eastAsia="Georgia" w:hAnsi="Georgia" w:cs="Georgia"/>
          <w:sz w:val="22"/>
          <w:szCs w:val="22"/>
        </w:rPr>
        <w:t>many</w:t>
      </w:r>
      <w:r>
        <w:rPr>
          <w:rFonts w:ascii="Georgia" w:eastAsia="Georgia" w:hAnsi="Georgia" w:cs="Georgia"/>
          <w:sz w:val="22"/>
          <w:szCs w:val="22"/>
        </w:rPr>
        <w:t xml:space="preserve"> SEAAs live in the U</w:t>
      </w:r>
      <w:r w:rsidR="00756A9C">
        <w:rPr>
          <w:rFonts w:ascii="Georgia" w:eastAsia="Georgia" w:hAnsi="Georgia" w:cs="Georgia"/>
          <w:sz w:val="22"/>
          <w:szCs w:val="22"/>
        </w:rPr>
        <w:t xml:space="preserve">nited </w:t>
      </w:r>
      <w:r>
        <w:rPr>
          <w:rFonts w:ascii="Georgia" w:eastAsia="Georgia" w:hAnsi="Georgia" w:cs="Georgia"/>
          <w:sz w:val="22"/>
          <w:szCs w:val="22"/>
        </w:rPr>
        <w:t>S</w:t>
      </w:r>
      <w:r w:rsidR="00756A9C">
        <w:rPr>
          <w:rFonts w:ascii="Georgia" w:eastAsia="Georgia" w:hAnsi="Georgia" w:cs="Georgia"/>
          <w:sz w:val="22"/>
          <w:szCs w:val="22"/>
        </w:rPr>
        <w:t>tates</w:t>
      </w:r>
      <w:r>
        <w:rPr>
          <w:rFonts w:ascii="Georgia" w:eastAsia="Georgia" w:hAnsi="Georgia" w:cs="Georgia"/>
          <w:sz w:val="22"/>
          <w:szCs w:val="22"/>
        </w:rPr>
        <w:t xml:space="preserve"> with a pending deportation order</w:t>
      </w:r>
      <w:r w:rsidR="004A322F">
        <w:rPr>
          <w:rFonts w:ascii="Georgia" w:eastAsia="Georgia" w:hAnsi="Georgia" w:cs="Georgia"/>
          <w:sz w:val="22"/>
          <w:szCs w:val="22"/>
        </w:rPr>
        <w:t xml:space="preserve"> or lack lawful status. They </w:t>
      </w:r>
      <w:r>
        <w:rPr>
          <w:rFonts w:ascii="Georgia" w:eastAsia="Georgia" w:hAnsi="Georgia" w:cs="Georgia"/>
          <w:sz w:val="22"/>
          <w:szCs w:val="22"/>
        </w:rPr>
        <w:t xml:space="preserve">are afraid of being targeted by the Administration by participating in </w:t>
      </w:r>
      <w:r w:rsidR="00756A9C">
        <w:rPr>
          <w:rFonts w:ascii="Georgia" w:eastAsia="Georgia" w:hAnsi="Georgia" w:cs="Georgia"/>
          <w:sz w:val="22"/>
          <w:szCs w:val="22"/>
        </w:rPr>
        <w:t>the c</w:t>
      </w:r>
      <w:r>
        <w:rPr>
          <w:rFonts w:ascii="Georgia" w:eastAsia="Georgia" w:hAnsi="Georgia" w:cs="Georgia"/>
          <w:sz w:val="22"/>
          <w:szCs w:val="22"/>
        </w:rPr>
        <w:t xml:space="preserve">ensus, even if the 2020 questionnaire will </w:t>
      </w:r>
      <w:r>
        <w:rPr>
          <w:rFonts w:ascii="Georgia" w:eastAsia="Georgia" w:hAnsi="Georgia" w:cs="Georgia"/>
          <w:b/>
          <w:color w:val="BC1F64"/>
          <w:sz w:val="22"/>
          <w:szCs w:val="22"/>
        </w:rPr>
        <w:t>not</w:t>
      </w:r>
      <w:r>
        <w:rPr>
          <w:rFonts w:ascii="Georgia" w:eastAsia="Georgia" w:hAnsi="Georgia" w:cs="Georgia"/>
          <w:sz w:val="22"/>
          <w:szCs w:val="22"/>
        </w:rPr>
        <w:t xml:space="preserve"> have a citizenship question included.</w:t>
      </w:r>
    </w:p>
    <w:p w14:paraId="6D12490F" w14:textId="18802CC8" w:rsidR="00756A9C" w:rsidRDefault="00BE0E2F">
      <w:pPr>
        <w:numPr>
          <w:ilvl w:val="0"/>
          <w:numId w:val="2"/>
        </w:numPr>
        <w:spacing w:after="20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color w:val="BC1F64"/>
          <w:sz w:val="22"/>
          <w:szCs w:val="22"/>
        </w:rPr>
        <w:t>Limited English proficiency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 w:rsidR="00756A9C">
        <w:rPr>
          <w:rFonts w:ascii="Georgia" w:eastAsia="Georgia" w:hAnsi="Georgia" w:cs="Georgia"/>
          <w:sz w:val="22"/>
          <w:szCs w:val="22"/>
        </w:rPr>
        <w:t>—</w:t>
      </w:r>
      <w:r>
        <w:rPr>
          <w:rFonts w:ascii="Georgia" w:eastAsia="Georgia" w:hAnsi="Georgia" w:cs="Georgia"/>
          <w:sz w:val="22"/>
          <w:szCs w:val="22"/>
        </w:rPr>
        <w:t xml:space="preserve"> About half of SEAAs in the U</w:t>
      </w:r>
      <w:r w:rsidR="00756A9C">
        <w:rPr>
          <w:rFonts w:ascii="Georgia" w:eastAsia="Georgia" w:hAnsi="Georgia" w:cs="Georgia"/>
          <w:sz w:val="22"/>
          <w:szCs w:val="22"/>
        </w:rPr>
        <w:t xml:space="preserve">nited </w:t>
      </w:r>
      <w:r>
        <w:rPr>
          <w:rFonts w:ascii="Georgia" w:eastAsia="Georgia" w:hAnsi="Georgia" w:cs="Georgia"/>
          <w:sz w:val="22"/>
          <w:szCs w:val="22"/>
        </w:rPr>
        <w:t>S</w:t>
      </w:r>
      <w:r w:rsidR="00756A9C">
        <w:rPr>
          <w:rFonts w:ascii="Georgia" w:eastAsia="Georgia" w:hAnsi="Georgia" w:cs="Georgia"/>
          <w:sz w:val="22"/>
          <w:szCs w:val="22"/>
        </w:rPr>
        <w:t>tates</w:t>
      </w:r>
      <w:r>
        <w:rPr>
          <w:rFonts w:ascii="Georgia" w:eastAsia="Georgia" w:hAnsi="Georgia" w:cs="Georgia"/>
          <w:sz w:val="22"/>
          <w:szCs w:val="22"/>
        </w:rPr>
        <w:t xml:space="preserve"> are foreign born</w:t>
      </w:r>
      <w:r>
        <w:rPr>
          <w:rFonts w:ascii="Georgia" w:eastAsia="Georgia" w:hAnsi="Georgia" w:cs="Georgia"/>
          <w:sz w:val="22"/>
          <w:szCs w:val="22"/>
          <w:vertAlign w:val="superscript"/>
        </w:rPr>
        <w:footnoteReference w:id="4"/>
      </w:r>
      <w:r>
        <w:rPr>
          <w:rFonts w:ascii="Georgia" w:eastAsia="Georgia" w:hAnsi="Georgia" w:cs="Georgia"/>
          <w:sz w:val="22"/>
          <w:szCs w:val="22"/>
        </w:rPr>
        <w:t xml:space="preserve"> and struggle to learn English. Roughly 38.3% of Cambodian, 36.7% </w:t>
      </w:r>
    </w:p>
    <w:p w14:paraId="49B7F58A" w14:textId="77777777" w:rsidR="00756A9C" w:rsidRDefault="00756A9C" w:rsidP="004A322F">
      <w:pPr>
        <w:spacing w:after="200"/>
        <w:ind w:left="720"/>
        <w:rPr>
          <w:rFonts w:ascii="Georgia" w:eastAsia="Georgia" w:hAnsi="Georgia" w:cs="Georgia"/>
          <w:sz w:val="22"/>
          <w:szCs w:val="22"/>
        </w:rPr>
      </w:pPr>
    </w:p>
    <w:p w14:paraId="1E2D4C7C" w14:textId="77777777" w:rsidR="00756A9C" w:rsidRDefault="00756A9C" w:rsidP="004A322F">
      <w:pPr>
        <w:spacing w:after="200"/>
        <w:ind w:left="720"/>
        <w:rPr>
          <w:rFonts w:ascii="Georgia" w:eastAsia="Georgia" w:hAnsi="Georgia" w:cs="Georgia"/>
          <w:sz w:val="22"/>
          <w:szCs w:val="22"/>
        </w:rPr>
      </w:pPr>
    </w:p>
    <w:p w14:paraId="32E73EEF" w14:textId="7189ACD2" w:rsidR="00E922AC" w:rsidRPr="00756A9C" w:rsidRDefault="00BE0E2F" w:rsidP="004A322F">
      <w:pPr>
        <w:spacing w:after="200"/>
        <w:ind w:left="720"/>
        <w:rPr>
          <w:rFonts w:ascii="Georgia" w:eastAsia="Georgia" w:hAnsi="Georgia" w:cs="Georgia"/>
          <w:sz w:val="22"/>
          <w:szCs w:val="22"/>
        </w:rPr>
      </w:pPr>
      <w:r w:rsidRPr="00756A9C">
        <w:rPr>
          <w:rFonts w:ascii="Georgia" w:eastAsia="Georgia" w:hAnsi="Georgia" w:cs="Georgia"/>
          <w:sz w:val="22"/>
          <w:szCs w:val="22"/>
        </w:rPr>
        <w:t>of Hmong, 34.5% of Lao, and 48.6% of Vietnamese households that speak English less than “very well,” compared to 8.6% of total US households.</w:t>
      </w:r>
      <w:r>
        <w:rPr>
          <w:rFonts w:ascii="Georgia" w:eastAsia="Georgia" w:hAnsi="Georgia" w:cs="Georgia"/>
          <w:sz w:val="22"/>
          <w:szCs w:val="22"/>
          <w:vertAlign w:val="superscript"/>
        </w:rPr>
        <w:footnoteReference w:id="5"/>
      </w:r>
    </w:p>
    <w:p w14:paraId="6C661649" w14:textId="77777777" w:rsidR="00E922AC" w:rsidRDefault="00BE0E2F">
      <w:pPr>
        <w:numPr>
          <w:ilvl w:val="0"/>
          <w:numId w:val="2"/>
        </w:numPr>
        <w:spacing w:after="20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color w:val="BC1F64"/>
          <w:sz w:val="22"/>
          <w:szCs w:val="22"/>
        </w:rPr>
        <w:t>Low income or poverty</w:t>
      </w:r>
      <w:r>
        <w:rPr>
          <w:rFonts w:ascii="Georgia" w:eastAsia="Georgia" w:hAnsi="Georgia" w:cs="Georgia"/>
          <w:sz w:val="22"/>
          <w:szCs w:val="22"/>
        </w:rPr>
        <w:t xml:space="preserve"> - </w:t>
      </w:r>
      <w:r>
        <w:rPr>
          <w:rFonts w:ascii="Georgia" w:eastAsia="Georgia" w:hAnsi="Georgia" w:cs="Georgia"/>
          <w:color w:val="353535"/>
          <w:sz w:val="22"/>
          <w:szCs w:val="22"/>
        </w:rPr>
        <w:t>SEAA communities experience poverty at very high rates, with 11% of Lao families, 13% of Vietnamese families, 14.9% of Cambodian families, and 16.3% of Hmong families still living below the poverty line.</w:t>
      </w:r>
      <w:r>
        <w:rPr>
          <w:rFonts w:ascii="Georgia" w:eastAsia="Georgia" w:hAnsi="Georgia" w:cs="Georgia"/>
          <w:color w:val="353535"/>
          <w:sz w:val="22"/>
          <w:szCs w:val="22"/>
          <w:vertAlign w:val="superscript"/>
        </w:rPr>
        <w:footnoteReference w:id="6"/>
      </w:r>
      <w:r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</w:p>
    <w:p w14:paraId="2371E8F4" w14:textId="77777777" w:rsidR="00E922AC" w:rsidRDefault="00E922AC">
      <w:pPr>
        <w:rPr>
          <w:rFonts w:ascii="Georgia" w:eastAsia="Georgia" w:hAnsi="Georgia" w:cs="Georgia"/>
          <w:b/>
          <w:color w:val="BC1F64"/>
          <w:sz w:val="22"/>
          <w:szCs w:val="22"/>
        </w:rPr>
      </w:pPr>
    </w:p>
    <w:p w14:paraId="6402AAFC" w14:textId="77777777" w:rsidR="00E922AC" w:rsidRPr="00714223" w:rsidRDefault="00BE0E2F">
      <w:pPr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714223">
        <w:rPr>
          <w:rFonts w:ascii="Geomanist Medium" w:eastAsia="Geo" w:hAnsi="Geomanist Medium" w:cs="Geo"/>
          <w:b/>
          <w:color w:val="417CC0"/>
          <w:sz w:val="28"/>
          <w:szCs w:val="28"/>
        </w:rPr>
        <w:t>WHY DOES IT MATTER?</w:t>
      </w:r>
    </w:p>
    <w:p w14:paraId="55667749" w14:textId="77777777" w:rsidR="00E922AC" w:rsidRDefault="00BE0E2F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color w:val="BC1F64"/>
          <w:sz w:val="22"/>
          <w:szCs w:val="22"/>
        </w:rPr>
        <w:t xml:space="preserve">Because SEAAs face these challenges to census participation, it is even more critical to ensure that everyone in our community gets counted in 2020. </w:t>
      </w:r>
      <w:r>
        <w:rPr>
          <w:rFonts w:ascii="Georgia" w:eastAsia="Georgia" w:hAnsi="Georgia" w:cs="Georgia"/>
          <w:sz w:val="22"/>
          <w:szCs w:val="22"/>
        </w:rPr>
        <w:t>A complete count will ensure that our community:</w:t>
      </w:r>
    </w:p>
    <w:p w14:paraId="56FB2161" w14:textId="77777777" w:rsidR="00E922AC" w:rsidRDefault="00E922AC">
      <w:pPr>
        <w:rPr>
          <w:rFonts w:ascii="Georgia" w:eastAsia="Georgia" w:hAnsi="Georgia" w:cs="Georgia"/>
          <w:sz w:val="22"/>
          <w:szCs w:val="22"/>
        </w:rPr>
      </w:pPr>
    </w:p>
    <w:p w14:paraId="7B3C7BB9" w14:textId="77777777" w:rsidR="00E922AC" w:rsidRDefault="00BE0E2F">
      <w:pPr>
        <w:numPr>
          <w:ilvl w:val="0"/>
          <w:numId w:val="1"/>
        </w:numPr>
        <w:spacing w:line="276" w:lineRule="auto"/>
        <w:rPr>
          <w:rFonts w:ascii="Geo" w:eastAsia="Geo" w:hAnsi="Geo" w:cs="Geo"/>
          <w:b/>
          <w:color w:val="417CC0"/>
          <w:sz w:val="28"/>
          <w:szCs w:val="28"/>
        </w:rPr>
      </w:pPr>
      <w:bookmarkStart w:id="1" w:name="_heading=h.30j0zll" w:colFirst="0" w:colLast="0"/>
      <w:bookmarkEnd w:id="1"/>
      <w:r w:rsidRPr="00714223">
        <w:rPr>
          <w:rFonts w:ascii="Geomanist Medium" w:eastAsia="Geo" w:hAnsi="Geomanist Medium" w:cs="Geo"/>
          <w:b/>
          <w:color w:val="417CC0"/>
          <w:sz w:val="28"/>
          <w:szCs w:val="28"/>
        </w:rPr>
        <w:t>Gets their fair share of resources.</w:t>
      </w:r>
      <w:r>
        <w:rPr>
          <w:rFonts w:ascii="Geo" w:eastAsia="Geo" w:hAnsi="Geo" w:cs="Geo"/>
          <w:b/>
          <w:color w:val="417CC0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 xml:space="preserve">SEAA communities depend on a number of government programs to support their families. We can lose thousands of dollars a year for each uncounted person since the census happens only once every 10 years. </w:t>
      </w:r>
    </w:p>
    <w:p w14:paraId="5A636137" w14:textId="77777777" w:rsidR="00E922AC" w:rsidRDefault="00BE0E2F">
      <w:pPr>
        <w:spacing w:line="276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</w:rPr>
        <w:drawing>
          <wp:inline distT="114300" distB="114300" distL="114300" distR="114300" wp14:anchorId="2C4B9C31" wp14:editId="2C7963B5">
            <wp:extent cx="4686300" cy="2602653"/>
            <wp:effectExtent l="0" t="0" r="0" b="0"/>
            <wp:docPr id="4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7583" cy="26033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E936AF" w14:textId="77777777" w:rsidR="00E922AC" w:rsidRDefault="00E922AC">
      <w:pPr>
        <w:spacing w:line="276" w:lineRule="auto"/>
        <w:rPr>
          <w:rFonts w:ascii="Georgia" w:eastAsia="Georgia" w:hAnsi="Georgia" w:cs="Georgia"/>
          <w:color w:val="417CC0"/>
        </w:rPr>
      </w:pPr>
    </w:p>
    <w:p w14:paraId="6FE3A413" w14:textId="44DBEA9B" w:rsidR="00E922AC" w:rsidRDefault="00BE0E2F">
      <w:pPr>
        <w:numPr>
          <w:ilvl w:val="0"/>
          <w:numId w:val="1"/>
        </w:numPr>
        <w:spacing w:line="276" w:lineRule="auto"/>
        <w:rPr>
          <w:rFonts w:ascii="Georgia" w:eastAsia="Georgia" w:hAnsi="Georgia" w:cs="Georgia"/>
          <w:color w:val="417CC0"/>
        </w:rPr>
      </w:pPr>
      <w:r w:rsidRPr="00714223">
        <w:rPr>
          <w:rFonts w:ascii="Geomanist Medium" w:eastAsia="Geo" w:hAnsi="Geomanist Medium" w:cs="Geo"/>
          <w:b/>
          <w:color w:val="417CC0"/>
          <w:sz w:val="28"/>
          <w:szCs w:val="28"/>
        </w:rPr>
        <w:t>Is visible.</w:t>
      </w:r>
      <w:r>
        <w:rPr>
          <w:rFonts w:ascii="Georgia" w:eastAsia="Georgia" w:hAnsi="Georgia" w:cs="Georgia"/>
        </w:rPr>
        <w:t xml:space="preserve"> </w:t>
      </w:r>
      <w:r w:rsidR="00756A9C">
        <w:rPr>
          <w:rFonts w:ascii="Georgia" w:eastAsia="Georgia" w:hAnsi="Georgia" w:cs="Georgia"/>
          <w:sz w:val="22"/>
          <w:szCs w:val="22"/>
        </w:rPr>
        <w:t>The c</w:t>
      </w:r>
      <w:r>
        <w:rPr>
          <w:rFonts w:ascii="Georgia" w:eastAsia="Georgia" w:hAnsi="Georgia" w:cs="Georgia"/>
          <w:sz w:val="22"/>
          <w:szCs w:val="22"/>
        </w:rPr>
        <w:t>ensus informs decision-makers on where to invest resources so that:</w:t>
      </w:r>
    </w:p>
    <w:p w14:paraId="0B1A5834" w14:textId="074E4533" w:rsidR="00E922AC" w:rsidRDefault="00BE0E2F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Local school districts will know where to build new schools or expand existing ones,</w:t>
      </w:r>
    </w:p>
    <w:p w14:paraId="0CB67A91" w14:textId="77777777" w:rsidR="00E922AC" w:rsidRDefault="00BE0E2F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Local governments will know how to plan for housing needs,</w:t>
      </w:r>
    </w:p>
    <w:p w14:paraId="4F88BE94" w14:textId="43C40D3B" w:rsidR="00E922AC" w:rsidRDefault="00BE0E2F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Healthcare providers will know what type of care they need to prioritize for the populations around them, and</w:t>
      </w:r>
    </w:p>
    <w:p w14:paraId="30B2DC6E" w14:textId="77777777" w:rsidR="00756A9C" w:rsidRDefault="00756A9C" w:rsidP="00E12D44">
      <w:pPr>
        <w:spacing w:line="276" w:lineRule="auto"/>
        <w:ind w:left="1440"/>
        <w:rPr>
          <w:rFonts w:ascii="Georgia" w:eastAsia="Georgia" w:hAnsi="Georgia" w:cs="Georgia"/>
          <w:sz w:val="22"/>
          <w:szCs w:val="22"/>
        </w:rPr>
      </w:pPr>
    </w:p>
    <w:p w14:paraId="58BF4193" w14:textId="77777777" w:rsidR="00756A9C" w:rsidRDefault="00756A9C" w:rsidP="00E12D44">
      <w:pPr>
        <w:spacing w:line="276" w:lineRule="auto"/>
        <w:ind w:left="1440"/>
        <w:rPr>
          <w:rFonts w:ascii="Georgia" w:eastAsia="Georgia" w:hAnsi="Georgia" w:cs="Georgia"/>
          <w:sz w:val="22"/>
          <w:szCs w:val="22"/>
        </w:rPr>
      </w:pPr>
    </w:p>
    <w:p w14:paraId="526286CA" w14:textId="533C70DE" w:rsidR="00E922AC" w:rsidRPr="00756A9C" w:rsidRDefault="00BE0E2F" w:rsidP="00E12D44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lastRenderedPageBreak/>
        <w:t>Advocates will have data to draft and push for policies to help improve the lives of community members.</w:t>
      </w:r>
      <w:bookmarkStart w:id="2" w:name="_heading=h.gjdgxs" w:colFirst="0" w:colLast="0"/>
      <w:bookmarkEnd w:id="2"/>
    </w:p>
    <w:p w14:paraId="28D9E01B" w14:textId="77777777" w:rsidR="00E922AC" w:rsidRDefault="00E922AC">
      <w:pPr>
        <w:spacing w:line="276" w:lineRule="auto"/>
        <w:ind w:left="1440" w:hanging="720"/>
        <w:rPr>
          <w:rFonts w:ascii="Georgia" w:eastAsia="Georgia" w:hAnsi="Georgia" w:cs="Georgia"/>
        </w:rPr>
      </w:pPr>
    </w:p>
    <w:p w14:paraId="497734CA" w14:textId="5B281236" w:rsidR="00E922AC" w:rsidRDefault="00756A9C">
      <w:pPr>
        <w:numPr>
          <w:ilvl w:val="0"/>
          <w:numId w:val="1"/>
        </w:numPr>
        <w:spacing w:line="276" w:lineRule="auto"/>
        <w:rPr>
          <w:rFonts w:ascii="Georgia" w:eastAsia="Georgia" w:hAnsi="Georgia" w:cs="Georgia"/>
          <w:b/>
          <w:color w:val="417CC0"/>
        </w:rPr>
      </w:pPr>
      <w:r w:rsidRPr="00714223">
        <w:rPr>
          <w:rFonts w:ascii="Geomanist Medium" w:hAnsi="Geomanist Medium"/>
          <w:noProof/>
        </w:rPr>
        <w:drawing>
          <wp:anchor distT="0" distB="0" distL="114300" distR="114300" simplePos="0" relativeHeight="251659264" behindDoc="0" locked="0" layoutInCell="1" hidden="0" allowOverlap="1" wp14:anchorId="46D92ECF" wp14:editId="4C2FFBF4">
            <wp:simplePos x="0" y="0"/>
            <wp:positionH relativeFrom="column">
              <wp:posOffset>3314700</wp:posOffset>
            </wp:positionH>
            <wp:positionV relativeFrom="paragraph">
              <wp:posOffset>31750</wp:posOffset>
            </wp:positionV>
            <wp:extent cx="3086100" cy="2242820"/>
            <wp:effectExtent l="0" t="0" r="12700" b="0"/>
            <wp:wrapSquare wrapText="bothSides" distT="0" distB="0" distL="114300" distR="114300"/>
            <wp:docPr id="5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242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E0E2F" w:rsidRPr="00714223">
        <w:rPr>
          <w:rFonts w:ascii="Geomanist Medium" w:eastAsia="Geo" w:hAnsi="Geomanist Medium" w:cs="Geo"/>
          <w:b/>
          <w:color w:val="417CC0"/>
          <w:sz w:val="28"/>
          <w:szCs w:val="28"/>
        </w:rPr>
        <w:t>Gets their fair share of political representation in Congress.</w:t>
      </w:r>
      <w:r w:rsidR="00BE0E2F">
        <w:rPr>
          <w:rFonts w:ascii="Georgia" w:eastAsia="Georgia" w:hAnsi="Georgia" w:cs="Georgia"/>
          <w:b/>
        </w:rPr>
        <w:t xml:space="preserve"> </w:t>
      </w:r>
      <w:r w:rsidR="00BE0E2F">
        <w:rPr>
          <w:rFonts w:ascii="Georgia" w:eastAsia="Georgia" w:hAnsi="Georgia" w:cs="Georgia"/>
          <w:sz w:val="22"/>
          <w:szCs w:val="22"/>
        </w:rPr>
        <w:t xml:space="preserve">Census data ensure that your voice is heard in government because </w:t>
      </w:r>
      <w:r>
        <w:rPr>
          <w:rFonts w:ascii="Georgia" w:eastAsia="Georgia" w:hAnsi="Georgia" w:cs="Georgia"/>
          <w:sz w:val="22"/>
          <w:szCs w:val="22"/>
        </w:rPr>
        <w:t>the data</w:t>
      </w:r>
      <w:r w:rsidR="00BE0E2F">
        <w:rPr>
          <w:rFonts w:ascii="Georgia" w:eastAsia="Georgia" w:hAnsi="Georgia" w:cs="Georgia"/>
          <w:sz w:val="22"/>
          <w:szCs w:val="22"/>
        </w:rPr>
        <w:t>:</w:t>
      </w:r>
    </w:p>
    <w:p w14:paraId="7D310012" w14:textId="2F10BF94" w:rsidR="00E922AC" w:rsidRDefault="00BE0E2F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Determine how many seats in the US House of Representatives each state gets </w:t>
      </w:r>
      <w:r w:rsidR="00756A9C">
        <w:rPr>
          <w:rFonts w:ascii="Georgia" w:eastAsia="Georgia" w:hAnsi="Georgia" w:cs="Georgia"/>
          <w:sz w:val="22"/>
          <w:szCs w:val="22"/>
        </w:rPr>
        <w:t xml:space="preserve">— </w:t>
      </w:r>
      <w:r>
        <w:rPr>
          <w:rFonts w:ascii="Georgia" w:eastAsia="Georgia" w:hAnsi="Georgia" w:cs="Georgia"/>
          <w:sz w:val="22"/>
          <w:szCs w:val="22"/>
        </w:rPr>
        <w:t xml:space="preserve">which translates to political </w:t>
      </w:r>
      <w:r>
        <w:rPr>
          <w:rFonts w:ascii="Georgia" w:eastAsia="Georgia" w:hAnsi="Georgia" w:cs="Georgia"/>
          <w:b/>
          <w:color w:val="BC1F64"/>
          <w:sz w:val="22"/>
          <w:szCs w:val="22"/>
        </w:rPr>
        <w:t>power</w:t>
      </w:r>
      <w:r>
        <w:rPr>
          <w:rFonts w:ascii="Georgia" w:eastAsia="Georgia" w:hAnsi="Georgia" w:cs="Georgia"/>
          <w:b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for your community.</w:t>
      </w:r>
    </w:p>
    <w:p w14:paraId="5BDCB8CF" w14:textId="309256AD" w:rsidR="00E922AC" w:rsidRDefault="00BE0E2F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Redraw political districts at all levels of government. </w:t>
      </w:r>
    </w:p>
    <w:p w14:paraId="3DAACA38" w14:textId="7913F061" w:rsidR="00E922AC" w:rsidRDefault="00BE0E2F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Protect voters against discrimination based on race.</w:t>
      </w:r>
    </w:p>
    <w:p w14:paraId="5C1CAB32" w14:textId="0CF9A8A9" w:rsidR="00E922AC" w:rsidRDefault="00BE0E2F">
      <w:pPr>
        <w:numPr>
          <w:ilvl w:val="1"/>
          <w:numId w:val="1"/>
        </w:numPr>
        <w:spacing w:after="200" w:line="276" w:lineRule="auto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Make sure jurisdictions provide language assistance to voters.</w:t>
      </w:r>
    </w:p>
    <w:p w14:paraId="3F1B7E7B" w14:textId="77777777" w:rsidR="00002DB2" w:rsidRPr="00002DB2" w:rsidRDefault="00002DB2">
      <w:pPr>
        <w:spacing w:line="276" w:lineRule="auto"/>
        <w:rPr>
          <w:rFonts w:ascii="Alfa Slab One" w:eastAsia="Alfa Slab One" w:hAnsi="Alfa Slab One" w:cs="Alfa Slab One"/>
          <w:color w:val="417CC0"/>
          <w:sz w:val="20"/>
          <w:szCs w:val="20"/>
        </w:rPr>
      </w:pPr>
    </w:p>
    <w:p w14:paraId="52E089BC" w14:textId="77777777" w:rsidR="00E922AC" w:rsidRDefault="00BE0E2F">
      <w:pPr>
        <w:spacing w:line="276" w:lineRule="auto"/>
        <w:rPr>
          <w:rFonts w:ascii="Alfa Slab One" w:eastAsia="Alfa Slab One" w:hAnsi="Alfa Slab One" w:cs="Alfa Slab One"/>
          <w:color w:val="417CC0"/>
          <w:sz w:val="32"/>
          <w:szCs w:val="32"/>
        </w:rPr>
      </w:pPr>
      <w:r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Take Action </w:t>
      </w:r>
    </w:p>
    <w:p w14:paraId="0B10D2B5" w14:textId="77777777" w:rsidR="00E922AC" w:rsidRDefault="00BE0E2F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There’s power to being counted! Sign up to be a 2020 Census Ambassador and help make sure ALL Southeast Asian Americans are seen and heard. Learn more: bit.ly/</w:t>
      </w:r>
      <w:proofErr w:type="spellStart"/>
      <w:r>
        <w:rPr>
          <w:rFonts w:ascii="Georgia" w:eastAsia="Georgia" w:hAnsi="Georgia" w:cs="Georgia"/>
          <w:sz w:val="22"/>
          <w:szCs w:val="22"/>
        </w:rPr>
        <w:t>SEARACCensusPledge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</w:p>
    <w:p w14:paraId="1F702254" w14:textId="77777777" w:rsidR="00E922AC" w:rsidRDefault="00E922AC">
      <w:pPr>
        <w:spacing w:line="276" w:lineRule="auto"/>
        <w:rPr>
          <w:rFonts w:ascii="Times New Roman" w:eastAsia="Times New Roman" w:hAnsi="Times New Roman" w:cs="Times New Roman"/>
        </w:rPr>
      </w:pPr>
    </w:p>
    <w:p w14:paraId="2BE1A950" w14:textId="77777777" w:rsidR="00E922AC" w:rsidRPr="00714223" w:rsidRDefault="00BE0E2F">
      <w:pPr>
        <w:spacing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714223">
        <w:rPr>
          <w:rFonts w:ascii="Geomanist Medium" w:eastAsia="Geo" w:hAnsi="Geomanist Medium" w:cs="Geo"/>
          <w:b/>
          <w:color w:val="417CC0"/>
          <w:sz w:val="28"/>
          <w:szCs w:val="28"/>
        </w:rPr>
        <w:t>WHAT CAN YOU DO TO MAKE SURE YOU’RE COUNTED?</w:t>
      </w:r>
    </w:p>
    <w:p w14:paraId="0B292FC4" w14:textId="77777777" w:rsidR="00E922AC" w:rsidRDefault="00BE0E2F">
      <w:pPr>
        <w:numPr>
          <w:ilvl w:val="0"/>
          <w:numId w:val="3"/>
        </w:num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Fill out your census form. Tell your friends and family about the census and explain why it is important to participate.</w:t>
      </w:r>
    </w:p>
    <w:p w14:paraId="461A338A" w14:textId="77777777" w:rsidR="00E922AC" w:rsidRDefault="00BE0E2F">
      <w:pPr>
        <w:numPr>
          <w:ilvl w:val="0"/>
          <w:numId w:val="3"/>
        </w:num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Reference the following </w:t>
      </w:r>
      <w:hyperlink r:id="rId11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resource(s) page</w:t>
        </w:r>
      </w:hyperlink>
      <w:r>
        <w:rPr>
          <w:rFonts w:ascii="Georgia" w:eastAsia="Georgia" w:hAnsi="Georgia" w:cs="Georgia"/>
          <w:sz w:val="22"/>
          <w:szCs w:val="22"/>
        </w:rPr>
        <w:t xml:space="preserve"> to find out when the form comes out, how to fill it out, what language support is offered, and more.</w:t>
      </w:r>
    </w:p>
    <w:p w14:paraId="76381DF4" w14:textId="60C812C4" w:rsidR="00E922AC" w:rsidRDefault="00BE0E2F">
      <w:pPr>
        <w:numPr>
          <w:ilvl w:val="0"/>
          <w:numId w:val="3"/>
        </w:numPr>
        <w:spacing w:after="200"/>
        <w:rPr>
          <w:rFonts w:ascii="Georgia" w:eastAsia="Georgia" w:hAnsi="Georgia" w:cs="Georgia"/>
          <w:sz w:val="22"/>
          <w:szCs w:val="22"/>
        </w:rPr>
        <w:sectPr w:rsidR="00E922AC">
          <w:headerReference w:type="default" r:id="rId12"/>
          <w:footerReference w:type="default" r:id="rId13"/>
          <w:pgSz w:w="12240" w:h="15840"/>
          <w:pgMar w:top="792" w:right="1080" w:bottom="792" w:left="1080" w:header="720" w:footer="720" w:gutter="0"/>
          <w:pgNumType w:start="1"/>
          <w:cols w:space="720" w:equalWidth="0">
            <w:col w:w="8640"/>
          </w:cols>
        </w:sectPr>
      </w:pPr>
      <w:bookmarkStart w:id="3" w:name="_heading=h.1fob9te" w:colFirst="0" w:colLast="0"/>
      <w:bookmarkEnd w:id="3"/>
      <w:r>
        <w:rPr>
          <w:rFonts w:ascii="Georgia" w:eastAsia="Georgia" w:hAnsi="Georgia" w:cs="Georgia"/>
          <w:sz w:val="22"/>
          <w:szCs w:val="22"/>
        </w:rPr>
        <w:t xml:space="preserve">Work for the Census Bureau as an enumerator </w:t>
      </w:r>
      <w:r w:rsidR="00756A9C">
        <w:rPr>
          <w:rFonts w:ascii="Georgia" w:eastAsia="Georgia" w:hAnsi="Georgia" w:cs="Georgia"/>
          <w:sz w:val="22"/>
          <w:szCs w:val="22"/>
        </w:rPr>
        <w:t>—</w:t>
      </w:r>
      <w:r>
        <w:rPr>
          <w:rFonts w:ascii="Georgia" w:eastAsia="Georgia" w:hAnsi="Georgia" w:cs="Georgia"/>
          <w:sz w:val="22"/>
          <w:szCs w:val="22"/>
        </w:rPr>
        <w:t xml:space="preserve"> the person who goes to peoples’ homes to count them if they do not respond to the census. Find additional information </w:t>
      </w:r>
      <w:hyperlink r:id="rId14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here</w:t>
        </w:r>
      </w:hyperlink>
    </w:p>
    <w:p w14:paraId="61E21E43" w14:textId="77777777" w:rsidR="00E922AC" w:rsidRDefault="00E922AC">
      <w:pPr>
        <w:spacing w:line="276" w:lineRule="auto"/>
        <w:rPr>
          <w:rFonts w:ascii="Georgia" w:eastAsia="Georgia" w:hAnsi="Georgia" w:cs="Georgia"/>
          <w:sz w:val="20"/>
          <w:szCs w:val="20"/>
        </w:rPr>
        <w:sectPr w:rsidR="00E922AC">
          <w:type w:val="continuous"/>
          <w:pgSz w:w="12240" w:h="15840"/>
          <w:pgMar w:top="792" w:right="1080" w:bottom="792" w:left="1080" w:header="720" w:footer="720" w:gutter="0"/>
          <w:cols w:num="2" w:space="720" w:equalWidth="0">
            <w:col w:w="4680" w:space="720"/>
            <w:col w:w="4680" w:space="0"/>
          </w:cols>
        </w:sectPr>
      </w:pPr>
    </w:p>
    <w:p w14:paraId="3AAFDDA9" w14:textId="77777777" w:rsidR="00E922AC" w:rsidRDefault="00E922AC">
      <w:pPr>
        <w:spacing w:line="276" w:lineRule="auto"/>
        <w:rPr>
          <w:rFonts w:ascii="Georgia" w:eastAsia="Georgia" w:hAnsi="Georgia" w:cs="Georgia"/>
          <w:sz w:val="20"/>
          <w:szCs w:val="20"/>
        </w:rPr>
        <w:sectPr w:rsidR="00E922AC">
          <w:type w:val="continuous"/>
          <w:pgSz w:w="12240" w:h="15840"/>
          <w:pgMar w:top="792" w:right="1080" w:bottom="792" w:left="1080" w:header="720" w:footer="720" w:gutter="0"/>
          <w:cols w:num="2" w:space="720" w:equalWidth="0">
            <w:col w:w="4680" w:space="720"/>
            <w:col w:w="4680" w:space="0"/>
          </w:cols>
        </w:sectPr>
      </w:pPr>
    </w:p>
    <w:p w14:paraId="07D776C3" w14:textId="77777777" w:rsidR="00E922AC" w:rsidRDefault="00E922AC">
      <w:pPr>
        <w:spacing w:line="276" w:lineRule="auto"/>
        <w:rPr>
          <w:rFonts w:ascii="Georgia" w:eastAsia="Georgia" w:hAnsi="Georgia" w:cs="Georgia"/>
          <w:sz w:val="20"/>
          <w:szCs w:val="20"/>
        </w:rPr>
      </w:pPr>
    </w:p>
    <w:sectPr w:rsidR="00E922AC">
      <w:type w:val="continuous"/>
      <w:pgSz w:w="12240" w:h="15840"/>
      <w:pgMar w:top="792" w:right="1080" w:bottom="792" w:left="1080" w:header="720" w:footer="720" w:gutter="0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9A5B9" w14:textId="77777777" w:rsidR="00D22AE7" w:rsidRDefault="00D22AE7">
      <w:r>
        <w:separator/>
      </w:r>
    </w:p>
  </w:endnote>
  <w:endnote w:type="continuationSeparator" w:id="0">
    <w:p w14:paraId="0FB47E35" w14:textId="77777777" w:rsidR="00D22AE7" w:rsidRDefault="00D2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fa Slab One">
    <w:altName w:val="Alfa Slab One Regular"/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Geomanist Medium">
    <w:panose1 w:val="02000603000000020004"/>
    <w:charset w:val="4D"/>
    <w:family w:val="auto"/>
    <w:notTrueType/>
    <w:pitch w:val="variable"/>
    <w:sig w:usb0="A000002F" w:usb1="1000004A" w:usb2="00000000" w:usb3="00000000" w:csb0="00000193" w:csb1="00000000"/>
  </w:font>
  <w:font w:name="Geo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2259B" w14:textId="51393A6A" w:rsidR="00E922AC" w:rsidRDefault="007142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 w:rsidRPr="00DD04DB">
      <w:rPr>
        <w:rFonts w:ascii="Geomanist Medium" w:hAnsi="Geomanist Medium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82E654" wp14:editId="12BC788F">
              <wp:simplePos x="0" y="0"/>
              <wp:positionH relativeFrom="column">
                <wp:posOffset>0</wp:posOffset>
              </wp:positionH>
              <wp:positionV relativeFrom="paragraph">
                <wp:posOffset>266065</wp:posOffset>
              </wp:positionV>
              <wp:extent cx="6400800" cy="0"/>
              <wp:effectExtent l="25400" t="25400" r="38100" b="762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65D344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95pt" to="7in,2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" strokecolor="#4f81bd [3204]" strokeweight="1pt">
              <v:shadow on="t" color="black"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3F016" w14:textId="77777777" w:rsidR="00D22AE7" w:rsidRDefault="00D22AE7">
      <w:r>
        <w:separator/>
      </w:r>
    </w:p>
  </w:footnote>
  <w:footnote w:type="continuationSeparator" w:id="0">
    <w:p w14:paraId="1794F81F" w14:textId="77777777" w:rsidR="00D22AE7" w:rsidRDefault="00D22AE7">
      <w:r>
        <w:continuationSeparator/>
      </w:r>
    </w:p>
  </w:footnote>
  <w:footnote w:id="1">
    <w:p w14:paraId="3415409A" w14:textId="77777777" w:rsidR="00E922AC" w:rsidRDefault="00BE0E2F">
      <w:pPr>
        <w:rPr>
          <w:rFonts w:ascii="Georgia" w:eastAsia="Georgia" w:hAnsi="Georgia" w:cs="Georgia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Georgia" w:eastAsia="Georgia" w:hAnsi="Georgia" w:cs="Georgia"/>
          <w:sz w:val="18"/>
          <w:szCs w:val="18"/>
        </w:rPr>
        <w:t xml:space="preserve"> U.S. Census Bureau, 2011-2015 American Community Survey 5-Year Estimates, Table B16004.</w:t>
      </w:r>
    </w:p>
  </w:footnote>
  <w:footnote w:id="2">
    <w:p w14:paraId="2E5C2731" w14:textId="77777777" w:rsidR="00E922AC" w:rsidRDefault="00BE0E2F">
      <w:pPr>
        <w:rPr>
          <w:rFonts w:ascii="Georgia" w:eastAsia="Georgia" w:hAnsi="Georgia" w:cs="Georgia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Georgia" w:eastAsia="Georgia" w:hAnsi="Georgia" w:cs="Georgia"/>
          <w:sz w:val="18"/>
          <w:szCs w:val="18"/>
        </w:rPr>
        <w:t xml:space="preserve"> Bottom 20% of 2010 Census Mail Return Rates</w:t>
      </w:r>
    </w:p>
  </w:footnote>
  <w:footnote w:id="3">
    <w:p w14:paraId="20585513" w14:textId="77777777" w:rsidR="00E922AC" w:rsidRDefault="00BE0E2F">
      <w:pPr>
        <w:rPr>
          <w:rFonts w:ascii="Georgia" w:eastAsia="Georgia" w:hAnsi="Georgia" w:cs="Georgia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Georgia" w:eastAsia="Georgia" w:hAnsi="Georgia" w:cs="Georgia"/>
          <w:sz w:val="18"/>
          <w:szCs w:val="18"/>
        </w:rPr>
        <w:t xml:space="preserve"> https://www2.census.gov/programs-surveys/decennial/2020 / program-management/pmr-materials/10-19-2018/pmr-hard-to-count-2018-10-19.pdf?</w:t>
      </w:r>
    </w:p>
  </w:footnote>
  <w:footnote w:id="4">
    <w:p w14:paraId="77C47E4F" w14:textId="77777777" w:rsidR="00E922AC" w:rsidRDefault="00BE0E2F">
      <w:pPr>
        <w:rPr>
          <w:rFonts w:ascii="Georgia" w:eastAsia="Georgia" w:hAnsi="Georgia" w:cs="Georgia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Georgia" w:eastAsia="Georgia" w:hAnsi="Georgia" w:cs="Georgia"/>
          <w:sz w:val="18"/>
          <w:szCs w:val="18"/>
        </w:rPr>
        <w:t xml:space="preserve"> </w:t>
      </w:r>
      <w:hyperlink r:id="rId1">
        <w:r>
          <w:rPr>
            <w:rFonts w:ascii="Georgia" w:eastAsia="Georgia" w:hAnsi="Georgia" w:cs="Georgia"/>
            <w:sz w:val="18"/>
            <w:szCs w:val="18"/>
          </w:rPr>
          <w:t>American Community Survey (ACS) - U.S. Census Bureau</w:t>
        </w:r>
      </w:hyperlink>
      <w:r>
        <w:rPr>
          <w:rFonts w:ascii="Georgia" w:eastAsia="Georgia" w:hAnsi="Georgia" w:cs="Georgia"/>
          <w:sz w:val="18"/>
          <w:szCs w:val="18"/>
        </w:rPr>
        <w:t>, 2010 1-year estimates</w:t>
      </w:r>
    </w:p>
  </w:footnote>
  <w:footnote w:id="5">
    <w:p w14:paraId="482E96AF" w14:textId="77777777" w:rsidR="00E922AC" w:rsidRDefault="00BE0E2F">
      <w:pPr>
        <w:rPr>
          <w:rFonts w:ascii="Arial" w:eastAsia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Georgia" w:eastAsia="Georgia" w:hAnsi="Georgia" w:cs="Georgia"/>
          <w:sz w:val="18"/>
          <w:szCs w:val="18"/>
        </w:rPr>
        <w:t xml:space="preserve"> </w:t>
      </w:r>
      <w:hyperlink r:id="rId2">
        <w:r>
          <w:rPr>
            <w:rFonts w:ascii="Georgia" w:eastAsia="Georgia" w:hAnsi="Georgia" w:cs="Georgia"/>
            <w:sz w:val="18"/>
            <w:szCs w:val="18"/>
          </w:rPr>
          <w:t>American Community Survey (ACS) - U.S. Census Bureau</w:t>
        </w:r>
      </w:hyperlink>
      <w:r>
        <w:rPr>
          <w:rFonts w:ascii="Georgia" w:eastAsia="Georgia" w:hAnsi="Georgia" w:cs="Georgia"/>
          <w:sz w:val="18"/>
          <w:szCs w:val="18"/>
        </w:rPr>
        <w:t>, 2</w:t>
      </w:r>
      <w:r>
        <w:rPr>
          <w:rFonts w:ascii="Georgia" w:eastAsia="Georgia" w:hAnsi="Georgia" w:cs="Georgia"/>
          <w:color w:val="222222"/>
          <w:sz w:val="18"/>
          <w:szCs w:val="18"/>
        </w:rPr>
        <w:t xml:space="preserve">011-2015 5-Year Estimates. Retrieved from https://factfinder.census.gov/faces/tableservices/jsf/pages/productview.xhtml?pid=ACS_15_SPT_DP02&amp;prodType=table. </w:t>
      </w:r>
    </w:p>
  </w:footnote>
  <w:footnote w:id="6">
    <w:p w14:paraId="3E578653" w14:textId="77777777" w:rsidR="00E922AC" w:rsidRDefault="00BE0E2F">
      <w:pPr>
        <w:rPr>
          <w:rFonts w:ascii="Georgia" w:eastAsia="Georgia" w:hAnsi="Georgia" w:cs="Georgia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Georgia" w:eastAsia="Georgia" w:hAnsi="Georgia" w:cs="Georgia"/>
          <w:sz w:val="20"/>
          <w:szCs w:val="20"/>
        </w:rPr>
        <w:t xml:space="preserve"> </w:t>
      </w:r>
      <w:hyperlink r:id="rId3">
        <w:r>
          <w:rPr>
            <w:rFonts w:ascii="Georgia" w:eastAsia="Georgia" w:hAnsi="Georgia" w:cs="Georgia"/>
            <w:color w:val="660099"/>
            <w:sz w:val="20"/>
            <w:szCs w:val="20"/>
          </w:rPr>
          <w:t>American Community Survey (ACS) - U.S. Census Bureau</w:t>
        </w:r>
      </w:hyperlink>
      <w:r>
        <w:rPr>
          <w:rFonts w:ascii="Georgia" w:eastAsia="Georgia" w:hAnsi="Georgia" w:cs="Georgia"/>
          <w:color w:val="222222"/>
          <w:sz w:val="20"/>
          <w:szCs w:val="20"/>
        </w:rPr>
        <w:t>, 2017 1-year estimates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E5659" w14:textId="72D2E1C4" w:rsidR="00E922AC" w:rsidRPr="00714223" w:rsidRDefault="007142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jc w:val="right"/>
      <w:rPr>
        <w:rFonts w:ascii="Geomanist Medium" w:eastAsia="Geo" w:hAnsi="Geomanist Medium" w:cs="Geo"/>
        <w:color w:val="417CC0"/>
        <w:sz w:val="22"/>
        <w:szCs w:val="22"/>
      </w:rPr>
    </w:pPr>
    <w:r w:rsidRPr="00DD04DB">
      <w:rPr>
        <w:rFonts w:ascii="Geomanist Medium" w:hAnsi="Geomanist Medium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CF3D29" wp14:editId="2682F0AD">
              <wp:simplePos x="0" y="0"/>
              <wp:positionH relativeFrom="column">
                <wp:posOffset>0</wp:posOffset>
              </wp:positionH>
              <wp:positionV relativeFrom="paragraph">
                <wp:posOffset>549275</wp:posOffset>
              </wp:positionV>
              <wp:extent cx="6400800" cy="0"/>
              <wp:effectExtent l="25400" t="25400" r="38100" b="762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445F1E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3.25pt" to="7in,4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" strokecolor="#4f81bd [3204]" strokeweight="1pt">
              <v:shadow on="t" color="black" opacity="24903f" origin=",.5" offset="0,.55556mm"/>
            </v:line>
          </w:pict>
        </mc:Fallback>
      </mc:AlternateContent>
    </w:r>
    <w:r w:rsidR="00BE0E2F" w:rsidRPr="00714223">
      <w:rPr>
        <w:rFonts w:ascii="Geomanist Medium" w:eastAsia="Geo" w:hAnsi="Geomanist Medium" w:cs="Geo"/>
        <w:color w:val="417CC0"/>
        <w:sz w:val="22"/>
        <w:szCs w:val="22"/>
      </w:rPr>
      <w:t xml:space="preserve">THE SOUTHEAST ASIA </w:t>
    </w:r>
    <w:r w:rsidR="00BE0E2F" w:rsidRPr="00714223">
      <w:rPr>
        <w:rFonts w:ascii="Geomanist Medium" w:eastAsia="Geo" w:hAnsi="Geomanist Medium" w:cs="Geo"/>
        <w:color w:val="417CC0"/>
        <w:sz w:val="22"/>
        <w:szCs w:val="22"/>
      </w:rPr>
      <w:br/>
      <w:t xml:space="preserve">RESOURCE ACTION CENTER: </w:t>
    </w:r>
    <w:r w:rsidR="00BE0E2F" w:rsidRPr="00714223">
      <w:rPr>
        <w:rFonts w:ascii="Geomanist Medium" w:eastAsia="Geo" w:hAnsi="Geomanist Medium" w:cs="Geo"/>
        <w:color w:val="417CC0"/>
        <w:sz w:val="22"/>
        <w:szCs w:val="22"/>
      </w:rPr>
      <w:br/>
      <w:t>FACT SHEET</w:t>
    </w:r>
    <w:r w:rsidR="00BE0E2F" w:rsidRPr="00714223">
      <w:rPr>
        <w:rFonts w:ascii="Geomanist Medium" w:hAnsi="Geomanist Medium"/>
        <w:noProof/>
      </w:rPr>
      <w:drawing>
        <wp:anchor distT="0" distB="0" distL="114300" distR="114300" simplePos="0" relativeHeight="251659264" behindDoc="0" locked="0" layoutInCell="1" hidden="0" allowOverlap="1" wp14:anchorId="415E0370" wp14:editId="635CB3EE">
          <wp:simplePos x="0" y="0"/>
          <wp:positionH relativeFrom="column">
            <wp:posOffset>7</wp:posOffset>
          </wp:positionH>
          <wp:positionV relativeFrom="paragraph">
            <wp:posOffset>0</wp:posOffset>
          </wp:positionV>
          <wp:extent cx="1487805" cy="387350"/>
          <wp:effectExtent l="0" t="0" r="0" b="0"/>
          <wp:wrapSquare wrapText="bothSides" distT="0" distB="0" distL="114300" distR="114300"/>
          <wp:docPr id="5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80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A4D77"/>
    <w:multiLevelType w:val="multilevel"/>
    <w:tmpl w:val="33D269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0A249E"/>
    <w:multiLevelType w:val="multilevel"/>
    <w:tmpl w:val="0ABAF4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6044B51"/>
    <w:multiLevelType w:val="multilevel"/>
    <w:tmpl w:val="72CEBBA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22AC"/>
    <w:rsid w:val="00002DB2"/>
    <w:rsid w:val="004A322F"/>
    <w:rsid w:val="00623A3D"/>
    <w:rsid w:val="006702C9"/>
    <w:rsid w:val="006E597E"/>
    <w:rsid w:val="00714223"/>
    <w:rsid w:val="007413B8"/>
    <w:rsid w:val="00756A9C"/>
    <w:rsid w:val="009733E5"/>
    <w:rsid w:val="00BE0E2F"/>
    <w:rsid w:val="00D22AE7"/>
    <w:rsid w:val="00DD04DB"/>
    <w:rsid w:val="00E12D44"/>
    <w:rsid w:val="00E9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BD84A9"/>
  <w15:docId w15:val="{52D890C4-B896-4341-820B-BD85AE5D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6"/>
    <w:next w:val="Normal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6"/>
    <w:next w:val="Normal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6"/>
    <w:next w:val="Normal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6"/>
    <w:next w:val="Normal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6"/>
    <w:next w:val="Normal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6"/>
    <w:next w:val="Normal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6"/>
    <w:next w:val="Normal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paragraph" w:customStyle="1" w:styleId="Normal3">
    <w:name w:val="Normal3"/>
  </w:style>
  <w:style w:type="paragraph" w:customStyle="1" w:styleId="Normal4">
    <w:name w:val="Normal4"/>
  </w:style>
  <w:style w:type="paragraph" w:customStyle="1" w:styleId="Normal5">
    <w:name w:val="Normal5"/>
  </w:style>
  <w:style w:type="paragraph" w:customStyle="1" w:styleId="Normal6">
    <w:name w:val="Normal6"/>
  </w:style>
  <w:style w:type="paragraph" w:styleId="BalloonText">
    <w:name w:val="Balloon Text"/>
    <w:basedOn w:val="Normal"/>
    <w:link w:val="BalloonTextChar"/>
    <w:uiPriority w:val="99"/>
    <w:semiHidden/>
    <w:unhideWhenUsed/>
    <w:rsid w:val="005C1B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1B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B67"/>
  </w:style>
  <w:style w:type="paragraph" w:styleId="Footer">
    <w:name w:val="footer"/>
    <w:basedOn w:val="Normal"/>
    <w:link w:val="FooterChar"/>
    <w:uiPriority w:val="99"/>
    <w:unhideWhenUsed/>
    <w:rsid w:val="005C1B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B67"/>
  </w:style>
  <w:style w:type="table" w:styleId="TableGrid">
    <w:name w:val="Table Grid"/>
    <w:basedOn w:val="TableNormal"/>
    <w:uiPriority w:val="59"/>
    <w:rsid w:val="007A4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2EE4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12325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2325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23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232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FA52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2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2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2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untusin2020.org/resourc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2020census.gov/en/jobs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ensus.gov/programs-surveys/acs" TargetMode="External"/><Relationship Id="rId2" Type="http://schemas.openxmlformats.org/officeDocument/2006/relationships/hyperlink" Target="https://www.census.gov/programs-surveys/acs" TargetMode="External"/><Relationship Id="rId1" Type="http://schemas.openxmlformats.org/officeDocument/2006/relationships/hyperlink" Target="https://www.census.gov/programs-surveys/a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iRzRNSxmP7Er0w2X4KE7GIL0Cg==">AMUW2mXCihzDcYmEwkk1ZK/ARvi/B1LrThlPBzhZgf00XdgEIZ0ddvA/5Fs1lXWRIsF1LB80JE3VReieWknydDSNeUC3zZhsTx9hs2usvF+tP2X6tagsn43RTE2bRpsZuVbuDhRbp1SRvW1L7sj/oiLtZEUT3d8xHQ==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Kong</dc:creator>
  <cp:lastModifiedBy>SEARAC 06</cp:lastModifiedBy>
  <cp:revision>4</cp:revision>
  <cp:lastPrinted>2019-09-06T22:05:00Z</cp:lastPrinted>
  <dcterms:created xsi:type="dcterms:W3CDTF">2019-09-06T22:05:00Z</dcterms:created>
  <dcterms:modified xsi:type="dcterms:W3CDTF">2019-09-09T14:56:00Z</dcterms:modified>
</cp:coreProperties>
</file>